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AB" w:rsidRPr="003A727D" w:rsidRDefault="00BE4A07">
      <w:pPr>
        <w:spacing w:line="240" w:lineRule="auto"/>
        <w:jc w:val="center"/>
        <w:rPr>
          <w:rFonts w:eastAsia="黑体"/>
          <w:sz w:val="32"/>
          <w:szCs w:val="32"/>
        </w:rPr>
      </w:pPr>
      <w:bookmarkStart w:id="0" w:name="_GoBack"/>
      <w:bookmarkEnd w:id="0"/>
      <w:r w:rsidRPr="003A727D">
        <w:rPr>
          <w:rFonts w:eastAsia="黑体" w:hint="eastAsia"/>
          <w:sz w:val="32"/>
          <w:szCs w:val="32"/>
        </w:rPr>
        <w:t>《食品安全国家标准</w:t>
      </w:r>
      <w:r w:rsidRPr="003A727D">
        <w:rPr>
          <w:rFonts w:eastAsia="黑体" w:hint="eastAsia"/>
          <w:sz w:val="32"/>
          <w:szCs w:val="32"/>
        </w:rPr>
        <w:t xml:space="preserve"> </w:t>
      </w:r>
      <w:r w:rsidRPr="003A727D">
        <w:rPr>
          <w:rFonts w:eastAsia="黑体" w:hint="eastAsia"/>
          <w:sz w:val="32"/>
          <w:szCs w:val="32"/>
        </w:rPr>
        <w:t>食品添加剂</w:t>
      </w:r>
      <w:r w:rsidRPr="003A727D">
        <w:rPr>
          <w:rFonts w:eastAsia="黑体" w:hint="eastAsia"/>
          <w:sz w:val="32"/>
          <w:szCs w:val="32"/>
        </w:rPr>
        <w:t xml:space="preserve"> </w:t>
      </w:r>
      <w:r w:rsidRPr="003A727D">
        <w:rPr>
          <w:rFonts w:eastAsia="黑体" w:hint="eastAsia"/>
          <w:sz w:val="32"/>
          <w:szCs w:val="32"/>
        </w:rPr>
        <w:t>乙二胺四乙酸二钠钙》</w:t>
      </w:r>
    </w:p>
    <w:p w:rsidR="007977AB" w:rsidRPr="003A727D" w:rsidRDefault="00BE4A07">
      <w:pPr>
        <w:spacing w:line="240" w:lineRule="auto"/>
        <w:jc w:val="center"/>
        <w:rPr>
          <w:rFonts w:eastAsia="黑体"/>
          <w:sz w:val="32"/>
          <w:szCs w:val="32"/>
        </w:rPr>
      </w:pPr>
      <w:r w:rsidRPr="003A727D">
        <w:rPr>
          <w:rFonts w:eastAsia="黑体" w:hint="eastAsia"/>
          <w:sz w:val="32"/>
          <w:szCs w:val="32"/>
        </w:rPr>
        <w:t>（征求意见稿）编制说明</w:t>
      </w:r>
    </w:p>
    <w:p w:rsidR="007977AB" w:rsidRPr="003A727D" w:rsidRDefault="007977AB">
      <w:pPr>
        <w:jc w:val="center"/>
        <w:rPr>
          <w:b/>
          <w:szCs w:val="21"/>
        </w:rPr>
      </w:pPr>
    </w:p>
    <w:p w:rsidR="007977AB" w:rsidRPr="003A727D" w:rsidRDefault="00BE4A07">
      <w:pPr>
        <w:rPr>
          <w:rFonts w:eastAsia="黑体"/>
          <w:szCs w:val="21"/>
        </w:rPr>
      </w:pPr>
      <w:r w:rsidRPr="003A727D">
        <w:rPr>
          <w:rFonts w:eastAsia="黑体" w:hint="eastAsia"/>
          <w:szCs w:val="21"/>
        </w:rPr>
        <w:t>一、标准起草的基本情况（包括简要的起草过程、主要起草单位、起草人等）</w:t>
      </w:r>
    </w:p>
    <w:p w:rsidR="007977AB" w:rsidRPr="003A727D" w:rsidRDefault="00BE4A07">
      <w:pPr>
        <w:numPr>
          <w:ilvl w:val="0"/>
          <w:numId w:val="1"/>
        </w:numPr>
        <w:tabs>
          <w:tab w:val="clear" w:pos="990"/>
        </w:tabs>
        <w:ind w:left="0" w:firstLine="0"/>
        <w:textAlignment w:val="auto"/>
        <w:outlineLvl w:val="0"/>
        <w:rPr>
          <w:rFonts w:eastAsia="黑体"/>
          <w:szCs w:val="21"/>
        </w:rPr>
      </w:pPr>
      <w:r w:rsidRPr="003A727D">
        <w:rPr>
          <w:rFonts w:eastAsia="黑体" w:hint="eastAsia"/>
          <w:szCs w:val="21"/>
        </w:rPr>
        <w:t>简要起草过程</w:t>
      </w:r>
    </w:p>
    <w:p w:rsidR="007977AB" w:rsidRPr="003A727D" w:rsidRDefault="00BE4A07">
      <w:pPr>
        <w:spacing w:line="380" w:lineRule="exact"/>
        <w:ind w:firstLineChars="200" w:firstLine="420"/>
        <w:rPr>
          <w:rFonts w:ascii="宋体" w:hAnsi="宋体"/>
          <w:szCs w:val="21"/>
        </w:rPr>
      </w:pPr>
      <w:r w:rsidRPr="003A727D">
        <w:rPr>
          <w:rFonts w:hint="eastAsia"/>
          <w:szCs w:val="21"/>
        </w:rPr>
        <w:t>根据《卫生部办公厅关于印发</w:t>
      </w:r>
      <w:r w:rsidRPr="003A727D">
        <w:rPr>
          <w:rFonts w:hint="eastAsia"/>
          <w:szCs w:val="21"/>
        </w:rPr>
        <w:t>2012</w:t>
      </w:r>
      <w:r w:rsidRPr="003A727D">
        <w:rPr>
          <w:rFonts w:hint="eastAsia"/>
          <w:szCs w:val="21"/>
        </w:rPr>
        <w:t>年食品安全国家标准项目计划的通知》（卫办监督函</w:t>
      </w:r>
      <w:r w:rsidRPr="003A727D">
        <w:rPr>
          <w:szCs w:val="28"/>
        </w:rPr>
        <w:t>[</w:t>
      </w:r>
      <w:r w:rsidRPr="003A727D">
        <w:rPr>
          <w:rFonts w:hint="eastAsia"/>
          <w:szCs w:val="21"/>
        </w:rPr>
        <w:t>2012</w:t>
      </w:r>
      <w:r w:rsidRPr="003A727D">
        <w:rPr>
          <w:szCs w:val="28"/>
        </w:rPr>
        <w:t>]</w:t>
      </w:r>
      <w:r w:rsidRPr="003A727D">
        <w:rPr>
          <w:rFonts w:hint="eastAsia"/>
          <w:szCs w:val="21"/>
        </w:rPr>
        <w:t>512</w:t>
      </w:r>
      <w:r w:rsidRPr="003A727D">
        <w:rPr>
          <w:rFonts w:hint="eastAsia"/>
          <w:szCs w:val="21"/>
        </w:rPr>
        <w:t>号），《食品安全国家标准食品添加剂乙二胺四乙酸二钠钙》被列入</w:t>
      </w:r>
      <w:r w:rsidRPr="003A727D">
        <w:rPr>
          <w:rFonts w:hint="eastAsia"/>
          <w:szCs w:val="21"/>
        </w:rPr>
        <w:t>2012</w:t>
      </w:r>
      <w:r w:rsidRPr="003A727D">
        <w:rPr>
          <w:rFonts w:hint="eastAsia"/>
          <w:szCs w:val="21"/>
        </w:rPr>
        <w:t>年食品安全国家标准项目计划（项目编号为</w:t>
      </w:r>
      <w:r w:rsidRPr="003A727D">
        <w:t>spaq-2012-</w:t>
      </w:r>
      <w:r w:rsidRPr="003A727D">
        <w:rPr>
          <w:rFonts w:hint="eastAsia"/>
        </w:rPr>
        <w:t>48</w:t>
      </w:r>
      <w:r w:rsidRPr="003A727D">
        <w:rPr>
          <w:rFonts w:hint="eastAsia"/>
        </w:rPr>
        <w:t>）。</w:t>
      </w:r>
      <w:r w:rsidRPr="003A727D">
        <w:rPr>
          <w:szCs w:val="21"/>
        </w:rPr>
        <w:t>项目承担单位为</w:t>
      </w:r>
      <w:r w:rsidRPr="003A727D">
        <w:rPr>
          <w:rFonts w:hint="eastAsia"/>
          <w:bCs/>
          <w:szCs w:val="21"/>
        </w:rPr>
        <w:t>江苏省卫生监督所</w:t>
      </w:r>
      <w:r w:rsidRPr="003A727D">
        <w:rPr>
          <w:rFonts w:ascii="宋体" w:hAnsi="宋体" w:hint="eastAsia"/>
          <w:szCs w:val="21"/>
        </w:rPr>
        <w:t>，组织该标准的制定工作。</w:t>
      </w:r>
    </w:p>
    <w:p w:rsidR="007977AB" w:rsidRPr="003A727D" w:rsidRDefault="00BE4A07">
      <w:pPr>
        <w:spacing w:line="380" w:lineRule="exact"/>
        <w:ind w:firstLineChars="200" w:firstLine="420"/>
        <w:rPr>
          <w:szCs w:val="21"/>
        </w:rPr>
      </w:pPr>
      <w:r w:rsidRPr="003A727D">
        <w:rPr>
          <w:rFonts w:hAnsi="宋体"/>
          <w:szCs w:val="21"/>
        </w:rPr>
        <w:t>组建标准起草工作组后，</w:t>
      </w:r>
      <w:r w:rsidRPr="003A727D">
        <w:rPr>
          <w:szCs w:val="21"/>
        </w:rPr>
        <w:t>首先查阅相关的国内外技术标准资料，</w:t>
      </w:r>
      <w:r w:rsidRPr="003A727D">
        <w:rPr>
          <w:rFonts w:hint="eastAsia"/>
          <w:szCs w:val="21"/>
        </w:rPr>
        <w:t>组织产品收集和检验，</w:t>
      </w:r>
      <w:r w:rsidRPr="003A727D">
        <w:rPr>
          <w:szCs w:val="21"/>
        </w:rPr>
        <w:t>初步确定了产品的质量技术指标和相应的试验方法，形成了标准草案。</w:t>
      </w:r>
    </w:p>
    <w:p w:rsidR="007977AB" w:rsidRPr="003A727D" w:rsidRDefault="00BE4A07">
      <w:pPr>
        <w:spacing w:line="380" w:lineRule="exact"/>
        <w:ind w:firstLineChars="200" w:firstLine="420"/>
        <w:rPr>
          <w:szCs w:val="21"/>
        </w:rPr>
      </w:pPr>
      <w:r w:rsidRPr="003A727D">
        <w:rPr>
          <w:szCs w:val="21"/>
        </w:rPr>
        <w:t>之后，工作组对标准草案进行了</w:t>
      </w:r>
      <w:r w:rsidRPr="003A727D">
        <w:rPr>
          <w:rFonts w:hint="eastAsia"/>
          <w:szCs w:val="21"/>
        </w:rPr>
        <w:t>充分</w:t>
      </w:r>
      <w:r w:rsidRPr="003A727D">
        <w:rPr>
          <w:szCs w:val="21"/>
        </w:rPr>
        <w:t>讨论研究，</w:t>
      </w:r>
      <w:r w:rsidRPr="003A727D">
        <w:rPr>
          <w:rFonts w:hAnsi="宋体" w:hint="eastAsia"/>
          <w:szCs w:val="21"/>
        </w:rPr>
        <w:t>并</w:t>
      </w:r>
      <w:r w:rsidRPr="003A727D">
        <w:rPr>
          <w:rFonts w:hAnsi="宋体"/>
          <w:szCs w:val="21"/>
        </w:rPr>
        <w:t>对标准中采用的试验方法进行</w:t>
      </w:r>
      <w:r w:rsidRPr="003A727D">
        <w:rPr>
          <w:rFonts w:hAnsi="宋体" w:hint="eastAsia"/>
          <w:szCs w:val="21"/>
        </w:rPr>
        <w:t>了</w:t>
      </w:r>
      <w:r w:rsidRPr="003A727D">
        <w:rPr>
          <w:rFonts w:hAnsi="宋体"/>
          <w:szCs w:val="21"/>
        </w:rPr>
        <w:t>验证</w:t>
      </w:r>
      <w:r w:rsidRPr="003A727D">
        <w:rPr>
          <w:rFonts w:hAnsi="宋体" w:hint="eastAsia"/>
          <w:szCs w:val="21"/>
        </w:rPr>
        <w:t>，</w:t>
      </w:r>
      <w:r w:rsidRPr="003A727D">
        <w:rPr>
          <w:rFonts w:hint="eastAsia"/>
          <w:szCs w:val="21"/>
        </w:rPr>
        <w:t>多次</w:t>
      </w:r>
      <w:r w:rsidRPr="003A727D">
        <w:rPr>
          <w:szCs w:val="21"/>
        </w:rPr>
        <w:t>完</w:t>
      </w:r>
      <w:r w:rsidRPr="003A727D">
        <w:rPr>
          <w:kern w:val="0"/>
          <w:szCs w:val="21"/>
        </w:rPr>
        <w:t>善标准讨论稿</w:t>
      </w:r>
      <w:r w:rsidRPr="003A727D">
        <w:rPr>
          <w:rFonts w:hint="eastAsia"/>
          <w:kern w:val="0"/>
          <w:szCs w:val="21"/>
        </w:rPr>
        <w:t>，形成了行业内标准征求意见稿</w:t>
      </w:r>
      <w:r w:rsidRPr="003A727D">
        <w:rPr>
          <w:kern w:val="0"/>
          <w:szCs w:val="21"/>
        </w:rPr>
        <w:t>。</w:t>
      </w:r>
      <w:r w:rsidRPr="003A727D">
        <w:rPr>
          <w:rFonts w:hint="eastAsia"/>
          <w:szCs w:val="21"/>
        </w:rPr>
        <w:t>2014</w:t>
      </w:r>
      <w:r w:rsidRPr="003A727D">
        <w:rPr>
          <w:rFonts w:hint="eastAsia"/>
          <w:szCs w:val="21"/>
        </w:rPr>
        <w:t>年</w:t>
      </w:r>
      <w:r w:rsidRPr="003A727D">
        <w:rPr>
          <w:rFonts w:hint="eastAsia"/>
          <w:szCs w:val="21"/>
        </w:rPr>
        <w:t>5</w:t>
      </w:r>
      <w:r w:rsidRPr="003A727D">
        <w:rPr>
          <w:rFonts w:hint="eastAsia"/>
          <w:szCs w:val="21"/>
        </w:rPr>
        <w:t>月开始，</w:t>
      </w:r>
      <w:r w:rsidRPr="003A727D">
        <w:rPr>
          <w:szCs w:val="21"/>
        </w:rPr>
        <w:t>起草工作组将标准文本及编制说明的征求意见稿以信件及电子邮件的形式</w:t>
      </w:r>
      <w:r w:rsidRPr="003A727D">
        <w:rPr>
          <w:rFonts w:hint="eastAsia"/>
          <w:szCs w:val="21"/>
        </w:rPr>
        <w:t>定向</w:t>
      </w:r>
      <w:r w:rsidRPr="003A727D">
        <w:rPr>
          <w:szCs w:val="21"/>
        </w:rPr>
        <w:t>发给有关企业和专家，同时在</w:t>
      </w:r>
      <w:r w:rsidRPr="003A727D">
        <w:rPr>
          <w:rFonts w:hint="eastAsia"/>
          <w:szCs w:val="21"/>
        </w:rPr>
        <w:t>单位</w:t>
      </w:r>
      <w:r w:rsidRPr="003A727D">
        <w:rPr>
          <w:szCs w:val="21"/>
        </w:rPr>
        <w:t>网站上刊登了该标准的征求意见稿，广泛征求意见。标准起草工作组认真讨论研究了反馈的意见和建议，对标准文本及编制说明进行了修改和完善，形成了标准</w:t>
      </w:r>
      <w:r w:rsidRPr="003A727D">
        <w:rPr>
          <w:rFonts w:hint="eastAsia"/>
          <w:szCs w:val="21"/>
        </w:rPr>
        <w:t>征求意见</w:t>
      </w:r>
      <w:r w:rsidRPr="003A727D">
        <w:rPr>
          <w:szCs w:val="21"/>
        </w:rPr>
        <w:t>稿</w:t>
      </w:r>
      <w:r w:rsidRPr="003A727D">
        <w:rPr>
          <w:rFonts w:hint="eastAsia"/>
          <w:szCs w:val="21"/>
        </w:rPr>
        <w:t>（公示稿），上报</w:t>
      </w:r>
      <w:r w:rsidRPr="003A727D">
        <w:rPr>
          <w:rFonts w:hAnsi="宋体" w:hint="eastAsia"/>
          <w:szCs w:val="21"/>
        </w:rPr>
        <w:t>食品安全国家标准审评委员会秘书处</w:t>
      </w:r>
      <w:r w:rsidRPr="003A727D">
        <w:rPr>
          <w:rFonts w:hint="eastAsia"/>
          <w:szCs w:val="21"/>
        </w:rPr>
        <w:t>。</w:t>
      </w:r>
    </w:p>
    <w:p w:rsidR="007977AB" w:rsidRPr="003A727D" w:rsidRDefault="00BE4A07">
      <w:pPr>
        <w:numPr>
          <w:ilvl w:val="0"/>
          <w:numId w:val="1"/>
        </w:numPr>
        <w:tabs>
          <w:tab w:val="clear" w:pos="990"/>
        </w:tabs>
        <w:ind w:left="0" w:firstLine="0"/>
        <w:textAlignment w:val="auto"/>
        <w:outlineLvl w:val="0"/>
        <w:rPr>
          <w:rFonts w:eastAsia="黑体"/>
          <w:szCs w:val="21"/>
        </w:rPr>
      </w:pPr>
      <w:r w:rsidRPr="003A727D">
        <w:rPr>
          <w:rFonts w:eastAsia="黑体" w:hint="eastAsia"/>
          <w:szCs w:val="21"/>
        </w:rPr>
        <w:t>主要起草单位</w:t>
      </w:r>
    </w:p>
    <w:p w:rsidR="007977AB" w:rsidRPr="003A727D" w:rsidRDefault="00BE4A07">
      <w:pPr>
        <w:ind w:firstLineChars="200" w:firstLine="420"/>
        <w:textAlignment w:val="auto"/>
        <w:outlineLvl w:val="0"/>
        <w:rPr>
          <w:rFonts w:eastAsia="黑体"/>
          <w:szCs w:val="21"/>
        </w:rPr>
      </w:pPr>
      <w:r w:rsidRPr="003A727D">
        <w:rPr>
          <w:rFonts w:hint="eastAsia"/>
          <w:szCs w:val="21"/>
        </w:rPr>
        <w:t>本标准起草单位为：江苏省卫生监督所</w:t>
      </w:r>
    </w:p>
    <w:p w:rsidR="007977AB" w:rsidRPr="003A727D" w:rsidRDefault="00BE4A07">
      <w:pPr>
        <w:numPr>
          <w:ilvl w:val="0"/>
          <w:numId w:val="1"/>
        </w:numPr>
        <w:tabs>
          <w:tab w:val="clear" w:pos="990"/>
        </w:tabs>
        <w:ind w:left="0" w:firstLine="0"/>
        <w:textAlignment w:val="auto"/>
        <w:outlineLvl w:val="0"/>
        <w:rPr>
          <w:bCs/>
          <w:szCs w:val="21"/>
        </w:rPr>
      </w:pPr>
      <w:r w:rsidRPr="003A727D">
        <w:rPr>
          <w:rFonts w:eastAsia="黑体" w:hint="eastAsia"/>
          <w:szCs w:val="21"/>
        </w:rPr>
        <w:t>主要起草人</w:t>
      </w:r>
    </w:p>
    <w:p w:rsidR="007977AB" w:rsidRPr="003A727D" w:rsidRDefault="00BE4A07">
      <w:pPr>
        <w:widowControl/>
        <w:ind w:firstLineChars="200" w:firstLine="420"/>
        <w:rPr>
          <w:szCs w:val="21"/>
        </w:rPr>
      </w:pPr>
      <w:r w:rsidRPr="003A727D">
        <w:rPr>
          <w:rFonts w:hint="eastAsia"/>
          <w:szCs w:val="21"/>
        </w:rPr>
        <w:t>本标准主要起草人为：周群霞、陈宇、陶君玮、郭跃、李建珍、许卫东、杨振坤、俞晔、许荣。</w:t>
      </w:r>
      <w:r w:rsidRPr="003A727D">
        <w:rPr>
          <w:szCs w:val="21"/>
        </w:rPr>
        <w:t>负责标准技术资料查询、收集及对比，检测方法的验证比对，样品检测及数据整理，标准文本及编制说明的起草、撰写，行业内征求意见，组织标准的研讨会及标准报送等。</w:t>
      </w:r>
    </w:p>
    <w:p w:rsidR="007977AB" w:rsidRPr="003A727D" w:rsidRDefault="00BE4A07">
      <w:pPr>
        <w:tabs>
          <w:tab w:val="left" w:pos="426"/>
        </w:tabs>
        <w:spacing w:beforeLines="50" w:before="156" w:afterLines="50" w:after="156" w:line="320" w:lineRule="exact"/>
        <w:outlineLvl w:val="0"/>
        <w:rPr>
          <w:rFonts w:ascii="宋体" w:hAnsi="宋体" w:cs="Arial"/>
          <w:b/>
          <w:szCs w:val="21"/>
        </w:rPr>
      </w:pPr>
      <w:r w:rsidRPr="003A727D">
        <w:rPr>
          <w:rFonts w:ascii="黑体" w:eastAsia="黑体" w:hAnsi="宋体" w:cs="Arial" w:hint="eastAsia"/>
          <w:szCs w:val="21"/>
        </w:rPr>
        <w:t>二、</w:t>
      </w:r>
      <w:r w:rsidRPr="003A727D">
        <w:rPr>
          <w:rFonts w:ascii="黑体" w:eastAsia="黑体" w:hAnsi="Arial" w:cs="Arial" w:hint="eastAsia"/>
          <w:szCs w:val="21"/>
        </w:rPr>
        <w:t>标准的重要内容及主要修改情况</w:t>
      </w:r>
    </w:p>
    <w:p w:rsidR="007977AB" w:rsidRPr="003A727D" w:rsidRDefault="00BE4A07" w:rsidP="002A7E32">
      <w:pPr>
        <w:widowControl/>
        <w:ind w:firstLineChars="150" w:firstLine="315"/>
        <w:rPr>
          <w:szCs w:val="21"/>
        </w:rPr>
      </w:pPr>
      <w:r w:rsidRPr="003A727D">
        <w:rPr>
          <w:szCs w:val="21"/>
        </w:rPr>
        <w:t>本标准的制定主要参考</w:t>
      </w:r>
      <w:r w:rsidRPr="003A727D">
        <w:rPr>
          <w:rFonts w:ascii="Arial" w:hAnsi="Arial" w:cs="Arial"/>
          <w:color w:val="333333"/>
        </w:rPr>
        <w:t>《</w:t>
      </w:r>
      <w:r w:rsidRPr="003A727D">
        <w:rPr>
          <w:rFonts w:hint="eastAsia"/>
          <w:color w:val="333333"/>
        </w:rPr>
        <w:t>食品</w:t>
      </w:r>
      <w:r w:rsidRPr="003A727D">
        <w:rPr>
          <w:rFonts w:ascii="Arial" w:hAnsi="Arial" w:cs="Arial"/>
          <w:color w:val="333333"/>
        </w:rPr>
        <w:t>化学法典》</w:t>
      </w:r>
      <w:r w:rsidRPr="003A727D">
        <w:rPr>
          <w:rFonts w:hint="eastAsia"/>
          <w:szCs w:val="21"/>
        </w:rPr>
        <w:t>（</w:t>
      </w:r>
      <w:r w:rsidRPr="003A727D">
        <w:rPr>
          <w:rFonts w:hint="eastAsia"/>
          <w:szCs w:val="21"/>
        </w:rPr>
        <w:t>FCC</w:t>
      </w:r>
      <w:r w:rsidRPr="003A727D">
        <w:rPr>
          <w:rFonts w:hint="eastAsia"/>
          <w:szCs w:val="21"/>
        </w:rPr>
        <w:t>），同时</w:t>
      </w:r>
      <w:r w:rsidRPr="003A727D">
        <w:rPr>
          <w:szCs w:val="21"/>
        </w:rPr>
        <w:t>结合国内产品</w:t>
      </w:r>
      <w:r w:rsidRPr="003A727D">
        <w:rPr>
          <w:rFonts w:hint="eastAsia"/>
          <w:szCs w:val="21"/>
        </w:rPr>
        <w:t>的</w:t>
      </w:r>
      <w:r w:rsidRPr="003A727D">
        <w:rPr>
          <w:szCs w:val="21"/>
        </w:rPr>
        <w:t>实际情况</w:t>
      </w:r>
      <w:r w:rsidRPr="003A727D">
        <w:rPr>
          <w:rFonts w:hint="eastAsia"/>
          <w:szCs w:val="21"/>
        </w:rPr>
        <w:t>。</w:t>
      </w:r>
      <w:r w:rsidRPr="003A727D">
        <w:rPr>
          <w:szCs w:val="21"/>
        </w:rPr>
        <w:t>表</w:t>
      </w:r>
      <w:r w:rsidRPr="003A727D">
        <w:rPr>
          <w:szCs w:val="21"/>
        </w:rPr>
        <w:t>1</w:t>
      </w:r>
      <w:r w:rsidRPr="003A727D">
        <w:rPr>
          <w:rFonts w:hint="eastAsia"/>
          <w:szCs w:val="21"/>
        </w:rPr>
        <w:t>是</w:t>
      </w:r>
      <w:r w:rsidRPr="003A727D">
        <w:rPr>
          <w:szCs w:val="21"/>
        </w:rPr>
        <w:t>国内外</w:t>
      </w:r>
      <w:r w:rsidRPr="003A727D">
        <w:rPr>
          <w:rFonts w:hint="eastAsia"/>
          <w:szCs w:val="21"/>
        </w:rPr>
        <w:t>乙二胺四乙酸二钠钙相关</w:t>
      </w:r>
      <w:r w:rsidRPr="003A727D">
        <w:rPr>
          <w:szCs w:val="21"/>
        </w:rPr>
        <w:t>质量标准中</w:t>
      </w:r>
      <w:r w:rsidRPr="003A727D">
        <w:rPr>
          <w:rFonts w:hint="eastAsia"/>
          <w:szCs w:val="21"/>
        </w:rPr>
        <w:t>技术</w:t>
      </w:r>
      <w:r w:rsidRPr="003A727D">
        <w:rPr>
          <w:szCs w:val="21"/>
        </w:rPr>
        <w:t>指标的对比情况。</w:t>
      </w:r>
    </w:p>
    <w:p w:rsidR="007977AB" w:rsidRPr="003A727D" w:rsidRDefault="00BE4A07">
      <w:pPr>
        <w:jc w:val="center"/>
        <w:rPr>
          <w:szCs w:val="21"/>
        </w:rPr>
      </w:pPr>
      <w:r w:rsidRPr="003A727D">
        <w:rPr>
          <w:rFonts w:hint="eastAsia"/>
          <w:szCs w:val="21"/>
        </w:rPr>
        <w:t>表</w:t>
      </w:r>
      <w:r w:rsidRPr="003A727D">
        <w:rPr>
          <w:rFonts w:hint="eastAsia"/>
          <w:szCs w:val="21"/>
        </w:rPr>
        <w:t>1</w:t>
      </w:r>
      <w:r w:rsidRPr="003A727D">
        <w:rPr>
          <w:rFonts w:hint="eastAsia"/>
          <w:szCs w:val="21"/>
        </w:rPr>
        <w:t>国内外乙二胺四乙酸二钠钙的相关标准技术指标对比表</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330"/>
        <w:gridCol w:w="1330"/>
        <w:gridCol w:w="1782"/>
        <w:gridCol w:w="1291"/>
        <w:gridCol w:w="1450"/>
      </w:tblGrid>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项目</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本标准</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rsidP="00C7370C">
            <w:pPr>
              <w:jc w:val="center"/>
              <w:rPr>
                <w:szCs w:val="21"/>
              </w:rPr>
            </w:pPr>
            <w:r w:rsidRPr="003A727D">
              <w:rPr>
                <w:szCs w:val="21"/>
              </w:rPr>
              <w:t>FCC</w:t>
            </w:r>
            <w:r w:rsidR="00C7370C" w:rsidRPr="003A727D">
              <w:rPr>
                <w:rFonts w:hint="eastAsia"/>
                <w:szCs w:val="21"/>
              </w:rPr>
              <w:t>第八</w:t>
            </w:r>
            <w:r w:rsidRPr="003A727D">
              <w:rPr>
                <w:rFonts w:hint="eastAsia"/>
                <w:szCs w:val="21"/>
              </w:rPr>
              <w:t>版</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原卫生部</w:t>
            </w:r>
            <w:r w:rsidRPr="003A727D">
              <w:rPr>
                <w:szCs w:val="21"/>
              </w:rPr>
              <w:t>2007</w:t>
            </w:r>
            <w:r w:rsidRPr="003A727D">
              <w:rPr>
                <w:rFonts w:hint="eastAsia"/>
                <w:szCs w:val="21"/>
              </w:rPr>
              <w:t>年</w:t>
            </w:r>
            <w:r w:rsidRPr="003A727D">
              <w:rPr>
                <w:szCs w:val="21"/>
              </w:rPr>
              <w:t>8</w:t>
            </w:r>
            <w:r w:rsidRPr="003A727D">
              <w:rPr>
                <w:rFonts w:hint="eastAsia"/>
                <w:szCs w:val="21"/>
              </w:rPr>
              <w:t>号公告</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JECFA(2003)</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中国台湾卫生署标准</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鉴别试验</w:t>
            </w:r>
          </w:p>
        </w:tc>
        <w:tc>
          <w:tcPr>
            <w:tcW w:w="1330" w:type="dxa"/>
            <w:tcBorders>
              <w:top w:val="single" w:sz="4" w:space="0" w:color="auto"/>
              <w:left w:val="single" w:sz="2" w:space="0" w:color="auto"/>
              <w:bottom w:val="single" w:sz="2" w:space="0" w:color="auto"/>
              <w:right w:val="single" w:sz="2" w:space="0" w:color="auto"/>
            </w:tcBorders>
          </w:tcPr>
          <w:p w:rsidR="007977AB" w:rsidRPr="003A727D" w:rsidRDefault="00BE4A07">
            <w:pPr>
              <w:jc w:val="center"/>
              <w:rPr>
                <w:szCs w:val="21"/>
              </w:rPr>
            </w:pPr>
            <w:r w:rsidRPr="003A727D">
              <w:rPr>
                <w:rFonts w:hint="eastAsia"/>
                <w:szCs w:val="21"/>
              </w:rPr>
              <w:t>有</w:t>
            </w:r>
          </w:p>
        </w:tc>
        <w:tc>
          <w:tcPr>
            <w:tcW w:w="1330" w:type="dxa"/>
            <w:tcBorders>
              <w:top w:val="single" w:sz="4" w:space="0" w:color="auto"/>
              <w:left w:val="single" w:sz="2" w:space="0" w:color="auto"/>
              <w:bottom w:val="single" w:sz="2" w:space="0" w:color="auto"/>
              <w:right w:val="single" w:sz="2" w:space="0" w:color="auto"/>
            </w:tcBorders>
          </w:tcPr>
          <w:p w:rsidR="007977AB" w:rsidRPr="003A727D" w:rsidRDefault="00BE4A07">
            <w:pPr>
              <w:jc w:val="center"/>
              <w:rPr>
                <w:szCs w:val="21"/>
              </w:rPr>
            </w:pPr>
            <w:r w:rsidRPr="003A727D">
              <w:rPr>
                <w:rFonts w:hint="eastAsia"/>
                <w:szCs w:val="21"/>
              </w:rPr>
              <w:t>有</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无</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有</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有</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szCs w:val="21"/>
              </w:rPr>
              <w:t>乙二胺四乙酸二钠钙含量</w:t>
            </w:r>
          </w:p>
          <w:p w:rsidR="007977AB" w:rsidRPr="003A727D" w:rsidRDefault="00BE4A07">
            <w:pPr>
              <w:rPr>
                <w:szCs w:val="21"/>
              </w:rPr>
            </w:pPr>
            <w:r w:rsidRPr="003A727D">
              <w:rPr>
                <w:szCs w:val="21"/>
              </w:rPr>
              <w:t>（</w:t>
            </w:r>
            <w:r w:rsidRPr="003A727D">
              <w:rPr>
                <w:szCs w:val="21"/>
              </w:rPr>
              <w:t>C</w:t>
            </w:r>
            <w:r w:rsidRPr="003A727D">
              <w:rPr>
                <w:szCs w:val="21"/>
                <w:vertAlign w:val="subscript"/>
              </w:rPr>
              <w:t>10</w:t>
            </w:r>
            <w:r w:rsidRPr="003A727D">
              <w:rPr>
                <w:szCs w:val="21"/>
              </w:rPr>
              <w:t>H</w:t>
            </w:r>
            <w:r w:rsidRPr="003A727D">
              <w:rPr>
                <w:szCs w:val="21"/>
                <w:vertAlign w:val="subscript"/>
              </w:rPr>
              <w:t>12</w:t>
            </w:r>
            <w:r w:rsidRPr="003A727D">
              <w:rPr>
                <w:szCs w:val="21"/>
              </w:rPr>
              <w:t>CaN</w:t>
            </w:r>
            <w:r w:rsidRPr="003A727D">
              <w:rPr>
                <w:szCs w:val="21"/>
                <w:vertAlign w:val="subscript"/>
              </w:rPr>
              <w:t>2</w:t>
            </w:r>
            <w:r w:rsidRPr="003A727D">
              <w:rPr>
                <w:szCs w:val="21"/>
              </w:rPr>
              <w:t>Na</w:t>
            </w:r>
            <w:r w:rsidRPr="003A727D">
              <w:rPr>
                <w:szCs w:val="21"/>
                <w:vertAlign w:val="subscript"/>
              </w:rPr>
              <w:t>2</w:t>
            </w:r>
            <w:r w:rsidRPr="003A727D">
              <w:rPr>
                <w:szCs w:val="21"/>
              </w:rPr>
              <w:t>O</w:t>
            </w:r>
            <w:r w:rsidRPr="003A727D">
              <w:rPr>
                <w:szCs w:val="21"/>
                <w:vertAlign w:val="subscript"/>
              </w:rPr>
              <w:t>8</w:t>
            </w:r>
            <w:r w:rsidRPr="003A727D">
              <w:rPr>
                <w:szCs w:val="21"/>
              </w:rPr>
              <w:t>·2H</w:t>
            </w:r>
            <w:r w:rsidRPr="003A727D">
              <w:rPr>
                <w:szCs w:val="21"/>
                <w:vertAlign w:val="subscript"/>
              </w:rPr>
              <w:t>2</w:t>
            </w:r>
            <w:r w:rsidRPr="003A727D">
              <w:rPr>
                <w:szCs w:val="21"/>
              </w:rPr>
              <w:t>O</w:t>
            </w:r>
            <w:r w:rsidRPr="003A727D">
              <w:rPr>
                <w:szCs w:val="21"/>
              </w:rPr>
              <w:t>）</w:t>
            </w:r>
            <w:r w:rsidRPr="003A727D">
              <w:rPr>
                <w:rFonts w:hint="eastAsia"/>
                <w:szCs w:val="21"/>
              </w:rPr>
              <w:lastRenderedPageBreak/>
              <w:t>（以干重计）</w:t>
            </w:r>
            <w:r w:rsidRPr="003A727D">
              <w:rPr>
                <w:szCs w:val="21"/>
              </w:rPr>
              <w:t>/ w %</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lastRenderedPageBreak/>
              <w:t>97.0</w:t>
            </w:r>
            <w:r w:rsidRPr="003A727D">
              <w:rPr>
                <w:rFonts w:hint="eastAsia"/>
                <w:szCs w:val="21"/>
              </w:rPr>
              <w:t>～</w:t>
            </w:r>
            <w:r w:rsidRPr="003A727D">
              <w:rPr>
                <w:szCs w:val="21"/>
              </w:rPr>
              <w:t>102.0</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97.0</w:t>
            </w:r>
            <w:r w:rsidRPr="003A727D">
              <w:rPr>
                <w:rFonts w:hint="eastAsia"/>
                <w:szCs w:val="21"/>
              </w:rPr>
              <w:t>～</w:t>
            </w:r>
            <w:r w:rsidRPr="003A727D">
              <w:rPr>
                <w:szCs w:val="21"/>
              </w:rPr>
              <w:t>102.0</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97.0</w:t>
            </w:r>
            <w:r w:rsidRPr="003A727D">
              <w:rPr>
                <w:rFonts w:hint="eastAsia"/>
                <w:szCs w:val="21"/>
              </w:rPr>
              <w:t>～</w:t>
            </w:r>
            <w:r w:rsidRPr="003A727D">
              <w:rPr>
                <w:szCs w:val="21"/>
              </w:rPr>
              <w:t>102.0</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97.0</w:t>
            </w:r>
            <w:r w:rsidRPr="003A727D">
              <w:rPr>
                <w:rFonts w:hint="eastAsia"/>
                <w:szCs w:val="21"/>
              </w:rPr>
              <w:t>～</w:t>
            </w:r>
            <w:r w:rsidRPr="003A727D">
              <w:rPr>
                <w:szCs w:val="21"/>
              </w:rPr>
              <w:t>102.0</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97.0</w:t>
            </w:r>
            <w:r w:rsidRPr="003A727D">
              <w:rPr>
                <w:rFonts w:hint="eastAsia"/>
                <w:szCs w:val="21"/>
              </w:rPr>
              <w:t>～</w:t>
            </w:r>
            <w:r w:rsidRPr="003A727D">
              <w:rPr>
                <w:szCs w:val="21"/>
              </w:rPr>
              <w:t>102.0</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lastRenderedPageBreak/>
              <w:t>水分</w:t>
            </w:r>
            <w:r w:rsidRPr="003A727D">
              <w:rPr>
                <w:szCs w:val="21"/>
              </w:rPr>
              <w:t>/</w:t>
            </w:r>
            <w:r w:rsidRPr="003A727D">
              <w:rPr>
                <w:rFonts w:hint="eastAsia"/>
                <w:szCs w:val="21"/>
              </w:rPr>
              <w:t>（</w:t>
            </w:r>
            <w:r w:rsidRPr="003A727D">
              <w:rPr>
                <w:szCs w:val="21"/>
              </w:rPr>
              <w:t>g/100g</w:t>
            </w: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13</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13</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13</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 w:val="18"/>
                <w:szCs w:val="21"/>
              </w:rPr>
            </w:pPr>
            <w:r w:rsidRPr="003A727D">
              <w:rPr>
                <w:rFonts w:hint="eastAsia"/>
                <w:szCs w:val="21"/>
              </w:rPr>
              <w:t>13</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szCs w:val="21"/>
              </w:rPr>
              <w:t>pH</w:t>
            </w:r>
            <w:r w:rsidRPr="003A727D">
              <w:rPr>
                <w:rFonts w:hint="eastAsia"/>
                <w:szCs w:val="21"/>
              </w:rPr>
              <w:t>值（</w:t>
            </w:r>
            <w:r w:rsidRPr="003A727D">
              <w:rPr>
                <w:szCs w:val="21"/>
              </w:rPr>
              <w:t>10mg/mL</w:t>
            </w:r>
            <w:r w:rsidRPr="003A727D">
              <w:rPr>
                <w:rFonts w:hint="eastAsia"/>
                <w:szCs w:val="21"/>
              </w:rPr>
              <w:t>溶液）</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6.5</w:t>
            </w:r>
            <w:r w:rsidRPr="003A727D">
              <w:rPr>
                <w:rFonts w:hint="eastAsia"/>
                <w:szCs w:val="21"/>
              </w:rPr>
              <w:t>～</w:t>
            </w:r>
            <w:r w:rsidRPr="003A727D">
              <w:rPr>
                <w:szCs w:val="21"/>
              </w:rPr>
              <w:t>7.5</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6.5</w:t>
            </w:r>
            <w:r w:rsidRPr="003A727D">
              <w:rPr>
                <w:rFonts w:hint="eastAsia"/>
                <w:szCs w:val="21"/>
              </w:rPr>
              <w:t>～</w:t>
            </w:r>
            <w:r w:rsidRPr="003A727D">
              <w:rPr>
                <w:szCs w:val="21"/>
              </w:rPr>
              <w:t>7.5</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7.0</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6.5</w:t>
            </w:r>
            <w:r w:rsidRPr="003A727D">
              <w:rPr>
                <w:rFonts w:hint="eastAsia"/>
                <w:szCs w:val="21"/>
              </w:rPr>
              <w:t>～</w:t>
            </w:r>
            <w:r w:rsidRPr="003A727D">
              <w:rPr>
                <w:szCs w:val="21"/>
              </w:rPr>
              <w:t>7.5</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6.5</w:t>
            </w:r>
            <w:r w:rsidRPr="003A727D">
              <w:rPr>
                <w:rFonts w:hint="eastAsia"/>
                <w:szCs w:val="21"/>
              </w:rPr>
              <w:t>～</w:t>
            </w:r>
            <w:r w:rsidRPr="003A727D">
              <w:rPr>
                <w:szCs w:val="21"/>
              </w:rPr>
              <w:t>7.5</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镁螯合物转移试验</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通过</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通过</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通过</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rFonts w:hint="eastAsia"/>
                <w:szCs w:val="21"/>
              </w:rPr>
              <w:t>通过</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氨基三乙酸</w:t>
            </w:r>
            <w:r w:rsidRPr="003A727D">
              <w:rPr>
                <w:szCs w:val="21"/>
              </w:rPr>
              <w:t>/ w %</w:t>
            </w: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0.1</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0.1</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szCs w:val="21"/>
              </w:rPr>
              <w:t>铅</w:t>
            </w:r>
            <w:r w:rsidRPr="003A727D">
              <w:rPr>
                <w:szCs w:val="21"/>
              </w:rPr>
              <w:t>(</w:t>
            </w:r>
            <w:proofErr w:type="spellStart"/>
            <w:r w:rsidRPr="003A727D">
              <w:rPr>
                <w:szCs w:val="21"/>
              </w:rPr>
              <w:t>Pb</w:t>
            </w:r>
            <w:proofErr w:type="spellEnd"/>
            <w:r w:rsidRPr="003A727D">
              <w:rPr>
                <w:szCs w:val="21"/>
              </w:rPr>
              <w:t>)/</w:t>
            </w:r>
            <w:r w:rsidRPr="003A727D">
              <w:rPr>
                <w:rFonts w:hint="eastAsia"/>
                <w:szCs w:val="21"/>
              </w:rPr>
              <w:t>（</w:t>
            </w:r>
            <w:r w:rsidRPr="003A727D">
              <w:rPr>
                <w:szCs w:val="21"/>
              </w:rPr>
              <w:t>mg/kg</w:t>
            </w: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2.0</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4.0</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 w:val="18"/>
                <w:szCs w:val="21"/>
              </w:rPr>
            </w:pPr>
            <w:r w:rsidRPr="003A727D">
              <w:rPr>
                <w:szCs w:val="21"/>
              </w:rPr>
              <w:t>10.0</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2.0</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 w:val="18"/>
                <w:szCs w:val="21"/>
              </w:rPr>
            </w:pPr>
            <w:r w:rsidRPr="003A727D">
              <w:rPr>
                <w:szCs w:val="21"/>
              </w:rPr>
              <w:t>10.0</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砷</w:t>
            </w:r>
            <w:r w:rsidRPr="003A727D">
              <w:rPr>
                <w:szCs w:val="21"/>
              </w:rPr>
              <w:t>(As)/</w:t>
            </w:r>
            <w:r w:rsidRPr="003A727D">
              <w:rPr>
                <w:rFonts w:hint="eastAsia"/>
                <w:szCs w:val="21"/>
              </w:rPr>
              <w:t>（</w:t>
            </w:r>
            <w:r w:rsidRPr="003A727D">
              <w:rPr>
                <w:szCs w:val="21"/>
              </w:rPr>
              <w:t>mg/kg</w:t>
            </w: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3.0</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 w:val="18"/>
                <w:szCs w:val="21"/>
              </w:rPr>
            </w:pPr>
            <w:r w:rsidRPr="003A727D">
              <w:rPr>
                <w:szCs w:val="21"/>
              </w:rPr>
              <w:t>-</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3.0</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3.0</w:t>
            </w:r>
          </w:p>
        </w:tc>
      </w:tr>
      <w:tr w:rsidR="007977AB" w:rsidRPr="003A727D">
        <w:trPr>
          <w:jc w:val="center"/>
        </w:trPr>
        <w:tc>
          <w:tcPr>
            <w:tcW w:w="2654"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rPr>
                <w:szCs w:val="21"/>
              </w:rPr>
            </w:pPr>
            <w:r w:rsidRPr="003A727D">
              <w:rPr>
                <w:rFonts w:hint="eastAsia"/>
                <w:szCs w:val="21"/>
              </w:rPr>
              <w:t>重金属</w:t>
            </w:r>
            <w:r w:rsidRPr="003A727D">
              <w:rPr>
                <w:szCs w:val="21"/>
              </w:rPr>
              <w:t>(</w:t>
            </w:r>
            <w:r w:rsidRPr="003A727D">
              <w:rPr>
                <w:rFonts w:hint="eastAsia"/>
                <w:szCs w:val="21"/>
              </w:rPr>
              <w:t>以</w:t>
            </w:r>
            <w:proofErr w:type="spellStart"/>
            <w:r w:rsidRPr="003A727D">
              <w:rPr>
                <w:szCs w:val="21"/>
              </w:rPr>
              <w:t>Pb</w:t>
            </w:r>
            <w:proofErr w:type="spellEnd"/>
            <w:r w:rsidRPr="003A727D">
              <w:rPr>
                <w:rFonts w:hint="eastAsia"/>
                <w:szCs w:val="21"/>
              </w:rPr>
              <w:t>计</w:t>
            </w:r>
            <w:r w:rsidRPr="003A727D">
              <w:rPr>
                <w:szCs w:val="21"/>
              </w:rPr>
              <w:t>) /</w:t>
            </w:r>
            <w:r w:rsidRPr="003A727D">
              <w:rPr>
                <w:rFonts w:hint="eastAsia"/>
                <w:szCs w:val="21"/>
              </w:rPr>
              <w:t>（</w:t>
            </w:r>
            <w:r w:rsidRPr="003A727D">
              <w:rPr>
                <w:szCs w:val="21"/>
              </w:rPr>
              <w:t>mg/kg</w:t>
            </w: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rFonts w:hint="eastAsia"/>
                <w:szCs w:val="21"/>
              </w:rPr>
              <w:t>-</w:t>
            </w:r>
          </w:p>
        </w:tc>
        <w:tc>
          <w:tcPr>
            <w:tcW w:w="1330" w:type="dxa"/>
            <w:tcBorders>
              <w:top w:val="single" w:sz="4" w:space="0" w:color="auto"/>
              <w:left w:val="single" w:sz="2"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w:t>
            </w:r>
          </w:p>
        </w:tc>
        <w:tc>
          <w:tcPr>
            <w:tcW w:w="1782"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20.0</w:t>
            </w:r>
          </w:p>
        </w:tc>
        <w:tc>
          <w:tcPr>
            <w:tcW w:w="1291" w:type="dxa"/>
            <w:tcBorders>
              <w:top w:val="single" w:sz="4" w:space="0" w:color="auto"/>
              <w:left w:val="single" w:sz="4" w:space="0" w:color="auto"/>
              <w:bottom w:val="single" w:sz="2" w:space="0" w:color="auto"/>
              <w:right w:val="single" w:sz="2" w:space="0" w:color="auto"/>
            </w:tcBorders>
            <w:vAlign w:val="center"/>
          </w:tcPr>
          <w:p w:rsidR="007977AB" w:rsidRPr="003A727D" w:rsidRDefault="00BE4A07">
            <w:pPr>
              <w:jc w:val="center"/>
              <w:rPr>
                <w:szCs w:val="21"/>
              </w:rPr>
            </w:pPr>
            <w:r w:rsidRPr="003A727D">
              <w:rPr>
                <w:szCs w:val="21"/>
              </w:rPr>
              <w:t>-</w:t>
            </w:r>
          </w:p>
        </w:tc>
        <w:tc>
          <w:tcPr>
            <w:tcW w:w="1450" w:type="dxa"/>
            <w:tcBorders>
              <w:top w:val="single" w:sz="4" w:space="0" w:color="auto"/>
              <w:left w:val="single" w:sz="2" w:space="0" w:color="auto"/>
              <w:bottom w:val="single" w:sz="2" w:space="0" w:color="auto"/>
              <w:right w:val="single" w:sz="4" w:space="0" w:color="auto"/>
            </w:tcBorders>
            <w:vAlign w:val="center"/>
          </w:tcPr>
          <w:p w:rsidR="007977AB" w:rsidRPr="003A727D" w:rsidRDefault="00BE4A07">
            <w:pPr>
              <w:jc w:val="center"/>
              <w:rPr>
                <w:szCs w:val="21"/>
              </w:rPr>
            </w:pPr>
            <w:r w:rsidRPr="003A727D">
              <w:rPr>
                <w:szCs w:val="21"/>
              </w:rPr>
              <w:t>20.0</w:t>
            </w:r>
          </w:p>
        </w:tc>
      </w:tr>
    </w:tbl>
    <w:p w:rsidR="007977AB" w:rsidRPr="003A727D" w:rsidRDefault="00BE4A07">
      <w:pPr>
        <w:tabs>
          <w:tab w:val="left" w:pos="426"/>
        </w:tabs>
        <w:spacing w:beforeLines="50" w:before="156" w:afterLines="50" w:after="156" w:line="320" w:lineRule="exact"/>
        <w:rPr>
          <w:rFonts w:ascii="黑体" w:eastAsia="黑体" w:hAnsi="宋体" w:cs="Arial"/>
          <w:szCs w:val="21"/>
        </w:rPr>
      </w:pPr>
      <w:r w:rsidRPr="003A727D">
        <w:rPr>
          <w:rFonts w:ascii="黑体" w:eastAsia="黑体" w:hAnsi="宋体" w:cs="Arial" w:hint="eastAsia"/>
          <w:szCs w:val="21"/>
        </w:rPr>
        <w:t>三、国内国际相关标准情况</w:t>
      </w:r>
    </w:p>
    <w:p w:rsidR="007977AB" w:rsidRPr="003A727D" w:rsidRDefault="00BE4A07">
      <w:pPr>
        <w:widowControl/>
        <w:spacing w:line="360" w:lineRule="exact"/>
        <w:ind w:firstLineChars="200" w:firstLine="420"/>
        <w:rPr>
          <w:szCs w:val="21"/>
        </w:rPr>
      </w:pPr>
      <w:r w:rsidRPr="003A727D">
        <w:rPr>
          <w:rFonts w:hint="eastAsia"/>
          <w:szCs w:val="21"/>
        </w:rPr>
        <w:t>经查询，美国食品化学品法典（</w:t>
      </w:r>
      <w:r w:rsidRPr="003A727D">
        <w:rPr>
          <w:rFonts w:hint="eastAsia"/>
          <w:szCs w:val="21"/>
        </w:rPr>
        <w:t xml:space="preserve">FCC </w:t>
      </w:r>
      <w:r w:rsidR="00C7370C" w:rsidRPr="003A727D">
        <w:rPr>
          <w:rFonts w:hint="eastAsia"/>
          <w:szCs w:val="21"/>
        </w:rPr>
        <w:t>8</w:t>
      </w:r>
      <w:r w:rsidR="00C7370C" w:rsidRPr="003A727D">
        <w:rPr>
          <w:szCs w:val="21"/>
        </w:rPr>
        <w:t>th</w:t>
      </w:r>
      <w:r w:rsidRPr="003A727D">
        <w:rPr>
          <w:rFonts w:hint="eastAsia"/>
          <w:szCs w:val="21"/>
        </w:rPr>
        <w:t>乙二胺四乙酸二钠钙）、国际食品法典委员会食品添加剂联合专家委员会（</w:t>
      </w:r>
      <w:r w:rsidRPr="003A727D">
        <w:rPr>
          <w:rFonts w:hint="eastAsia"/>
          <w:szCs w:val="21"/>
        </w:rPr>
        <w:t>JECFA2003</w:t>
      </w:r>
      <w:r w:rsidRPr="003A727D">
        <w:rPr>
          <w:rFonts w:hint="eastAsia"/>
          <w:szCs w:val="21"/>
        </w:rPr>
        <w:t>乙二胺四乙酸二钠钙）</w:t>
      </w:r>
      <w:r w:rsidRPr="003A727D">
        <w:rPr>
          <w:rFonts w:hAnsi="宋体" w:hint="eastAsia"/>
          <w:szCs w:val="21"/>
        </w:rPr>
        <w:t>、</w:t>
      </w:r>
      <w:r w:rsidRPr="003A727D">
        <w:rPr>
          <w:rFonts w:hint="eastAsia"/>
          <w:szCs w:val="21"/>
        </w:rPr>
        <w:t>中国台湾卫生署标准</w:t>
      </w:r>
      <w:r w:rsidRPr="003A727D">
        <w:rPr>
          <w:rFonts w:hAnsi="宋体" w:hint="eastAsia"/>
          <w:szCs w:val="21"/>
        </w:rPr>
        <w:t>（</w:t>
      </w:r>
      <w:r w:rsidRPr="003A727D">
        <w:rPr>
          <w:rFonts w:hint="eastAsia"/>
          <w:szCs w:val="21"/>
        </w:rPr>
        <w:t>乙二胺四乙酸二钠钙</w:t>
      </w:r>
      <w:r w:rsidRPr="003A727D">
        <w:rPr>
          <w:rFonts w:hAnsi="宋体" w:hint="eastAsia"/>
          <w:szCs w:val="21"/>
        </w:rPr>
        <w:t>）</w:t>
      </w:r>
      <w:r w:rsidRPr="003A727D">
        <w:rPr>
          <w:szCs w:val="21"/>
        </w:rPr>
        <w:t>均公布了</w:t>
      </w:r>
      <w:r w:rsidRPr="003A727D">
        <w:rPr>
          <w:rFonts w:hint="eastAsia"/>
          <w:szCs w:val="21"/>
        </w:rPr>
        <w:t>食品添加剂乙二胺四乙酸二钠钙</w:t>
      </w:r>
      <w:r w:rsidRPr="003A727D">
        <w:rPr>
          <w:szCs w:val="21"/>
        </w:rPr>
        <w:t>的质量规格标准。</w:t>
      </w:r>
    </w:p>
    <w:p w:rsidR="007977AB" w:rsidRPr="003A727D" w:rsidRDefault="007977AB">
      <w:pPr>
        <w:rPr>
          <w:szCs w:val="21"/>
        </w:rPr>
      </w:pPr>
    </w:p>
    <w:p w:rsidR="007977AB" w:rsidRPr="003A727D" w:rsidRDefault="00BE4A07">
      <w:pPr>
        <w:rPr>
          <w:rFonts w:eastAsia="黑体"/>
          <w:szCs w:val="21"/>
        </w:rPr>
      </w:pPr>
      <w:r w:rsidRPr="003A727D">
        <w:rPr>
          <w:rFonts w:eastAsia="黑体" w:hint="eastAsia"/>
          <w:szCs w:val="21"/>
        </w:rPr>
        <w:t>四、其他需要在网上公开说明的事项</w:t>
      </w:r>
    </w:p>
    <w:p w:rsidR="007977AB" w:rsidRDefault="00BE4A07">
      <w:pPr>
        <w:ind w:firstLineChars="202" w:firstLine="424"/>
        <w:rPr>
          <w:rFonts w:eastAsia="黑体"/>
          <w:szCs w:val="21"/>
        </w:rPr>
      </w:pPr>
      <w:r w:rsidRPr="003A727D">
        <w:rPr>
          <w:rFonts w:hint="eastAsia"/>
          <w:szCs w:val="21"/>
        </w:rPr>
        <w:t>无。</w:t>
      </w:r>
    </w:p>
    <w:p w:rsidR="007977AB" w:rsidRDefault="007977AB"/>
    <w:sectPr w:rsidR="007977AB">
      <w:footerReference w:type="even" r:id="rId10"/>
      <w:footerReference w:type="default" r:id="rId11"/>
      <w:pgSz w:w="11907" w:h="16840"/>
      <w:pgMar w:top="1418" w:right="1197" w:bottom="1418" w:left="10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D0" w:rsidRDefault="00FF28D0">
      <w:pPr>
        <w:spacing w:line="240" w:lineRule="auto"/>
      </w:pPr>
      <w:r>
        <w:separator/>
      </w:r>
    </w:p>
  </w:endnote>
  <w:endnote w:type="continuationSeparator" w:id="0">
    <w:p w:rsidR="00FF28D0" w:rsidRDefault="00FF2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BE4A0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rsidR="007977AB" w:rsidRDefault="007977A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BE4A0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7E32">
      <w:rPr>
        <w:rStyle w:val="a8"/>
        <w:noProof/>
      </w:rPr>
      <w:t>1</w:t>
    </w:r>
    <w:r>
      <w:rPr>
        <w:rStyle w:val="a8"/>
      </w:rPr>
      <w:fldChar w:fldCharType="end"/>
    </w:r>
  </w:p>
  <w:p w:rsidR="007977AB" w:rsidRDefault="007977A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D0" w:rsidRDefault="00FF28D0">
      <w:pPr>
        <w:spacing w:line="240" w:lineRule="auto"/>
      </w:pPr>
      <w:r>
        <w:separator/>
      </w:r>
    </w:p>
  </w:footnote>
  <w:footnote w:type="continuationSeparator" w:id="0">
    <w:p w:rsidR="00FF28D0" w:rsidRDefault="00FF28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5E33"/>
    <w:multiLevelType w:val="multilevel"/>
    <w:tmpl w:val="3A185E33"/>
    <w:lvl w:ilvl="0">
      <w:start w:val="1"/>
      <w:numFmt w:val="japaneseCounting"/>
      <w:lvlText w:val="（%1）"/>
      <w:lvlJc w:val="left"/>
      <w:pPr>
        <w:tabs>
          <w:tab w:val="left" w:pos="990"/>
        </w:tabs>
        <w:ind w:left="990" w:hanging="99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8BB"/>
    <w:rsid w:val="00023746"/>
    <w:rsid w:val="00024D7B"/>
    <w:rsid w:val="00071C61"/>
    <w:rsid w:val="00183DC5"/>
    <w:rsid w:val="001A4783"/>
    <w:rsid w:val="001B2D7C"/>
    <w:rsid w:val="001F27FA"/>
    <w:rsid w:val="00202358"/>
    <w:rsid w:val="00210130"/>
    <w:rsid w:val="002A04FC"/>
    <w:rsid w:val="002A18BB"/>
    <w:rsid w:val="002A7E32"/>
    <w:rsid w:val="002B61BC"/>
    <w:rsid w:val="002D3F4C"/>
    <w:rsid w:val="00384566"/>
    <w:rsid w:val="003A727D"/>
    <w:rsid w:val="003B3F10"/>
    <w:rsid w:val="00425309"/>
    <w:rsid w:val="004401A4"/>
    <w:rsid w:val="004A38A2"/>
    <w:rsid w:val="0052472D"/>
    <w:rsid w:val="005507E1"/>
    <w:rsid w:val="005F254F"/>
    <w:rsid w:val="00695B22"/>
    <w:rsid w:val="006D2E76"/>
    <w:rsid w:val="00710AE6"/>
    <w:rsid w:val="00744893"/>
    <w:rsid w:val="00775CB7"/>
    <w:rsid w:val="007977AB"/>
    <w:rsid w:val="00856B81"/>
    <w:rsid w:val="008A0C89"/>
    <w:rsid w:val="00945D7A"/>
    <w:rsid w:val="00A52DDC"/>
    <w:rsid w:val="00A6768F"/>
    <w:rsid w:val="00AA027E"/>
    <w:rsid w:val="00AB2170"/>
    <w:rsid w:val="00AE4A52"/>
    <w:rsid w:val="00B30587"/>
    <w:rsid w:val="00BB31A9"/>
    <w:rsid w:val="00BE4A07"/>
    <w:rsid w:val="00BF262A"/>
    <w:rsid w:val="00C058FC"/>
    <w:rsid w:val="00C257E8"/>
    <w:rsid w:val="00C7370C"/>
    <w:rsid w:val="00CF4F59"/>
    <w:rsid w:val="00D214E1"/>
    <w:rsid w:val="00D54ED1"/>
    <w:rsid w:val="00D61CEA"/>
    <w:rsid w:val="00DD3B67"/>
    <w:rsid w:val="00DD51B0"/>
    <w:rsid w:val="00DE26A4"/>
    <w:rsid w:val="00E03332"/>
    <w:rsid w:val="00E06D81"/>
    <w:rsid w:val="00F369D9"/>
    <w:rsid w:val="00F73A8B"/>
    <w:rsid w:val="00F93C18"/>
    <w:rsid w:val="00FB4231"/>
    <w:rsid w:val="00FF28D0"/>
    <w:rsid w:val="266B3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qFormat="1"/>
    <w:lsdException w:name="footer" w:semiHidden="0" w:uiPriority="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uiPriority="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uto"/>
      <w:jc w:val="both"/>
      <w:textAlignment w:val="baseline"/>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adjustRightInd w:val="0"/>
      <w:spacing w:line="360" w:lineRule="auto"/>
      <w:textAlignment w:val="baseline"/>
    </w:pPr>
    <w:rPr>
      <w:b/>
      <w:bCs/>
      <w:szCs w:val="20"/>
    </w:rPr>
  </w:style>
  <w:style w:type="paragraph" w:styleId="a4">
    <w:name w:val="annotation text"/>
    <w:basedOn w:val="a"/>
    <w:link w:val="Char0"/>
    <w:semiHidden/>
    <w:pPr>
      <w:adjustRightInd/>
      <w:spacing w:line="240" w:lineRule="auto"/>
      <w:jc w:val="left"/>
      <w:textAlignment w:val="auto"/>
    </w:pPr>
    <w:rPr>
      <w:szCs w:val="24"/>
    </w:rPr>
  </w:style>
  <w:style w:type="paragraph" w:styleId="a5">
    <w:name w:val="Balloon Text"/>
    <w:basedOn w:val="a"/>
    <w:link w:val="Char1"/>
    <w:semiHidden/>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8">
    <w:name w:val="page number"/>
    <w:basedOn w:val="a0"/>
  </w:style>
  <w:style w:type="character" w:styleId="a9">
    <w:name w:val="Emphasis"/>
    <w:basedOn w:val="a0"/>
    <w:uiPriority w:val="20"/>
    <w:qFormat/>
    <w:rPr>
      <w:color w:val="CC0000"/>
    </w:rPr>
  </w:style>
  <w:style w:type="character" w:styleId="aa">
    <w:name w:val="annotation reference"/>
    <w:semiHidden/>
    <w:rPr>
      <w:sz w:val="21"/>
      <w:szCs w:val="21"/>
    </w:rPr>
  </w:style>
  <w:style w:type="character" w:customStyle="1" w:styleId="Char2">
    <w:name w:val="页脚 Char"/>
    <w:basedOn w:val="a0"/>
    <w:link w:val="a6"/>
    <w:rPr>
      <w:rFonts w:ascii="Times New Roman" w:eastAsia="宋体" w:hAnsi="Times New Roman" w:cs="Times New Roman"/>
      <w:sz w:val="18"/>
      <w:szCs w:val="18"/>
    </w:rPr>
  </w:style>
  <w:style w:type="character" w:customStyle="1" w:styleId="Char1">
    <w:name w:val="批注框文本 Char"/>
    <w:basedOn w:val="a0"/>
    <w:link w:val="a5"/>
    <w:semiHidden/>
    <w:rPr>
      <w:rFonts w:ascii="Times New Roman" w:eastAsia="宋体" w:hAnsi="Times New Roman" w:cs="Times New Roman"/>
      <w:sz w:val="18"/>
      <w:szCs w:val="18"/>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06DBC-3188-4326-8146-4E14462F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1146</Characters>
  <Application>Microsoft Office Word</Application>
  <DocSecurity>0</DocSecurity>
  <Lines>9</Lines>
  <Paragraphs>2</Paragraphs>
  <ScaleCrop>false</ScaleCrop>
  <Company>china</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mana</cp:lastModifiedBy>
  <cp:revision>23</cp:revision>
  <dcterms:created xsi:type="dcterms:W3CDTF">2017-07-28T05:00:00Z</dcterms:created>
  <dcterms:modified xsi:type="dcterms:W3CDTF">2017-08-15T08:48:00Z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